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1B28" w14:textId="77777777" w:rsidR="00E4229C" w:rsidRPr="00357D16" w:rsidRDefault="009B554D" w:rsidP="00357D16">
      <w:pPr>
        <w:tabs>
          <w:tab w:val="left" w:pos="4320"/>
          <w:tab w:val="left" w:pos="4860"/>
        </w:tabs>
        <w:jc w:val="right"/>
        <w:rPr>
          <w:rFonts w:ascii="Minion Pro" w:hAnsi="Minion Pro"/>
          <w:sz w:val="32"/>
          <w:szCs w:val="32"/>
        </w:rPr>
      </w:pPr>
      <w:bookmarkStart w:id="0" w:name="_Hlk533073407"/>
      <w:bookmarkStart w:id="1" w:name="_Hlk531772896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B71948" wp14:editId="2951B3D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419475" cy="1316355"/>
            <wp:effectExtent l="0" t="0" r="9525" b="0"/>
            <wp:wrapThrough wrapText="bothSides">
              <wp:wrapPolygon edited="0">
                <wp:start x="3610" y="0"/>
                <wp:lineTo x="2647" y="625"/>
                <wp:lineTo x="481" y="4064"/>
                <wp:lineTo x="0" y="9378"/>
                <wp:lineTo x="0" y="11253"/>
                <wp:lineTo x="361" y="16255"/>
                <wp:lineTo x="2166" y="20318"/>
                <wp:lineTo x="3610" y="21256"/>
                <wp:lineTo x="4573" y="21256"/>
                <wp:lineTo x="5656" y="20318"/>
                <wp:lineTo x="21540" y="15630"/>
                <wp:lineTo x="21540" y="5939"/>
                <wp:lineTo x="19975" y="5314"/>
                <wp:lineTo x="13959" y="4689"/>
                <wp:lineTo x="13838" y="2188"/>
                <wp:lineTo x="4573" y="0"/>
                <wp:lineTo x="361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29C" w:rsidRPr="00357D16">
        <w:rPr>
          <w:rFonts w:ascii="Minion Pro" w:hAnsi="Minion Pro"/>
          <w:b/>
          <w:color w:val="4D4D4D"/>
          <w:sz w:val="32"/>
          <w:szCs w:val="32"/>
        </w:rPr>
        <w:t>Office of the Governor</w:t>
      </w:r>
    </w:p>
    <w:p w14:paraId="7411825A" w14:textId="77777777" w:rsidR="00357D16" w:rsidRPr="00357D16" w:rsidRDefault="005F526E" w:rsidP="00357D16">
      <w:pPr>
        <w:jc w:val="right"/>
        <w:rPr>
          <w:rFonts w:ascii="Minion Pro" w:hAnsi="Minion Pro"/>
          <w:color w:val="4D4D4D"/>
        </w:rPr>
      </w:pPr>
      <w:r w:rsidRPr="00357D16">
        <w:rPr>
          <w:rFonts w:ascii="Minion Pro" w:hAnsi="Minion Pro"/>
          <w:color w:val="4D4D4D"/>
        </w:rPr>
        <w:t xml:space="preserve">   </w:t>
      </w:r>
    </w:p>
    <w:p w14:paraId="5EC2B912" w14:textId="77777777" w:rsidR="00E4229C" w:rsidRDefault="00E4229C" w:rsidP="00357D16">
      <w:pPr>
        <w:jc w:val="right"/>
        <w:rPr>
          <w:rFonts w:ascii="Minion Pro" w:hAnsi="Minion Pro"/>
          <w:color w:val="4D4D4D"/>
        </w:rPr>
      </w:pPr>
      <w:r w:rsidRPr="005F526E">
        <w:rPr>
          <w:rFonts w:ascii="Minion Pro" w:hAnsi="Minion Pro"/>
          <w:color w:val="4D4D4D"/>
        </w:rPr>
        <w:t>COMMISSION FOR HUMAN RIGHTS</w:t>
      </w:r>
    </w:p>
    <w:p w14:paraId="6F42C379" w14:textId="77777777" w:rsidR="00357D16" w:rsidRPr="00357D16" w:rsidRDefault="00357D16" w:rsidP="00357D16">
      <w:pPr>
        <w:jc w:val="right"/>
        <w:rPr>
          <w:rFonts w:asciiTheme="minorHAnsi" w:hAnsiTheme="minorHAnsi" w:cstheme="minorHAnsi"/>
          <w:color w:val="4D4D4D"/>
          <w:sz w:val="14"/>
          <w:szCs w:val="14"/>
        </w:rPr>
      </w:pPr>
    </w:p>
    <w:p w14:paraId="6F51F449" w14:textId="77777777" w:rsidR="00E4229C" w:rsidRPr="005F526E" w:rsidRDefault="00E4229C" w:rsidP="00357D16">
      <w:pPr>
        <w:jc w:val="right"/>
        <w:rPr>
          <w:rFonts w:ascii="Century Gothic" w:hAnsi="Century Gothic"/>
          <w:color w:val="4D4D4D"/>
          <w:sz w:val="16"/>
          <w:szCs w:val="16"/>
        </w:rPr>
      </w:pPr>
      <w:r w:rsidRPr="005F526E">
        <w:rPr>
          <w:rFonts w:ascii="Century Gothic" w:hAnsi="Century Gothic"/>
          <w:color w:val="4D4D4D"/>
          <w:sz w:val="16"/>
          <w:szCs w:val="16"/>
        </w:rPr>
        <w:t>800 A Street, Suite 204</w:t>
      </w:r>
    </w:p>
    <w:p w14:paraId="36159420" w14:textId="77777777" w:rsidR="00E4229C" w:rsidRPr="005F526E" w:rsidRDefault="00E4229C" w:rsidP="00357D16">
      <w:pPr>
        <w:jc w:val="right"/>
        <w:rPr>
          <w:rFonts w:ascii="Century Gothic" w:hAnsi="Century Gothic"/>
          <w:color w:val="4D4D4D"/>
          <w:sz w:val="16"/>
          <w:szCs w:val="16"/>
        </w:rPr>
      </w:pPr>
      <w:r w:rsidRPr="005F526E">
        <w:rPr>
          <w:rFonts w:ascii="Century Gothic" w:hAnsi="Century Gothic"/>
          <w:color w:val="4D4D4D"/>
          <w:sz w:val="16"/>
          <w:szCs w:val="16"/>
        </w:rPr>
        <w:t>Anchorage, Alaska 99501-3669</w:t>
      </w:r>
    </w:p>
    <w:p w14:paraId="74E04FFC" w14:textId="77777777" w:rsidR="00E4229C" w:rsidRPr="005F526E" w:rsidRDefault="00E4229C" w:rsidP="00357D16">
      <w:pPr>
        <w:jc w:val="right"/>
        <w:rPr>
          <w:rFonts w:ascii="Century Gothic" w:hAnsi="Century Gothic"/>
          <w:color w:val="4D4D4D"/>
          <w:sz w:val="16"/>
          <w:szCs w:val="16"/>
        </w:rPr>
      </w:pPr>
      <w:r w:rsidRPr="005F526E">
        <w:rPr>
          <w:rFonts w:ascii="Century Gothic" w:hAnsi="Century Gothic"/>
          <w:color w:val="4D4D4D"/>
          <w:sz w:val="16"/>
          <w:szCs w:val="16"/>
        </w:rPr>
        <w:t>Main: 907.274.4692 / 907.276.7474</w:t>
      </w:r>
    </w:p>
    <w:p w14:paraId="5C6977DF" w14:textId="77777777" w:rsidR="00E4229C" w:rsidRPr="005F526E" w:rsidRDefault="00E4229C" w:rsidP="00357D16">
      <w:pPr>
        <w:jc w:val="right"/>
        <w:rPr>
          <w:rFonts w:ascii="Century Gothic" w:hAnsi="Century Gothic"/>
          <w:color w:val="4D4D4D"/>
          <w:sz w:val="16"/>
          <w:szCs w:val="16"/>
        </w:rPr>
      </w:pPr>
      <w:r w:rsidRPr="005F526E">
        <w:rPr>
          <w:rFonts w:ascii="Century Gothic" w:hAnsi="Century Gothic"/>
          <w:color w:val="4D4D4D"/>
          <w:sz w:val="16"/>
          <w:szCs w:val="16"/>
        </w:rPr>
        <w:t xml:space="preserve">TTY/TDD: </w:t>
      </w:r>
      <w:r w:rsidR="00357D16">
        <w:rPr>
          <w:rFonts w:ascii="Century Gothic" w:hAnsi="Century Gothic"/>
          <w:color w:val="4D4D4D"/>
          <w:sz w:val="16"/>
          <w:szCs w:val="16"/>
        </w:rPr>
        <w:t>711 for Alaska Relay</w:t>
      </w:r>
    </w:p>
    <w:p w14:paraId="552893A1" w14:textId="77777777" w:rsidR="00E4229C" w:rsidRDefault="00E4229C" w:rsidP="00357D16">
      <w:pPr>
        <w:jc w:val="right"/>
        <w:rPr>
          <w:rFonts w:ascii="Century Gothic" w:hAnsi="Century Gothic"/>
          <w:color w:val="4D4D4D"/>
          <w:sz w:val="16"/>
          <w:szCs w:val="16"/>
        </w:rPr>
      </w:pPr>
      <w:r w:rsidRPr="005F526E">
        <w:rPr>
          <w:rFonts w:ascii="Century Gothic" w:hAnsi="Century Gothic"/>
          <w:color w:val="4D4D4D"/>
          <w:sz w:val="16"/>
          <w:szCs w:val="16"/>
        </w:rPr>
        <w:t>Fax: 907.278-8588</w:t>
      </w:r>
    </w:p>
    <w:p w14:paraId="10B47DBA" w14:textId="77777777" w:rsidR="00393DEB" w:rsidRPr="005F526E" w:rsidRDefault="00393DEB" w:rsidP="00357D16">
      <w:pPr>
        <w:jc w:val="right"/>
        <w:rPr>
          <w:rFonts w:ascii="Century Gothic" w:hAnsi="Century Gothic"/>
          <w:color w:val="4D4D4D"/>
          <w:sz w:val="16"/>
          <w:szCs w:val="16"/>
        </w:rPr>
      </w:pPr>
    </w:p>
    <w:bookmarkEnd w:id="0"/>
    <w:p w14:paraId="7748142B" w14:textId="77777777" w:rsidR="00E4229C" w:rsidRPr="00251D3D" w:rsidRDefault="00E4229C" w:rsidP="00E4229C">
      <w:pPr>
        <w:ind w:right="-720"/>
        <w:jc w:val="right"/>
        <w:rPr>
          <w:rFonts w:ascii="Garamond" w:hAnsi="Garamond"/>
          <w:color w:val="4D4D4D"/>
          <w:sz w:val="16"/>
          <w:szCs w:val="16"/>
        </w:rPr>
      </w:pPr>
    </w:p>
    <w:p w14:paraId="233AC064" w14:textId="77777777" w:rsidR="00E4229C" w:rsidRDefault="00E4229C" w:rsidP="00E4229C">
      <w:pPr>
        <w:rPr>
          <w:rFonts w:ascii="Garamond" w:hAnsi="Garamond"/>
          <w:sz w:val="26"/>
          <w:szCs w:val="26"/>
        </w:rPr>
      </w:pPr>
    </w:p>
    <w:bookmarkEnd w:id="1"/>
    <w:p w14:paraId="185EB57F" w14:textId="77777777" w:rsidR="00A54E29" w:rsidRDefault="00A54E29" w:rsidP="009E6E13">
      <w:pPr>
        <w:ind w:left="720" w:right="720"/>
        <w:jc w:val="center"/>
        <w:rPr>
          <w:b/>
          <w:sz w:val="24"/>
          <w:szCs w:val="24"/>
        </w:rPr>
      </w:pPr>
    </w:p>
    <w:p w14:paraId="473064C3" w14:textId="77777777" w:rsidR="00A54E29" w:rsidRDefault="00A54E29" w:rsidP="009E6E13">
      <w:pPr>
        <w:ind w:left="720" w:right="720"/>
        <w:jc w:val="center"/>
        <w:rPr>
          <w:b/>
          <w:sz w:val="24"/>
          <w:szCs w:val="24"/>
        </w:rPr>
      </w:pPr>
    </w:p>
    <w:p w14:paraId="483F2361" w14:textId="3AF47F97" w:rsidR="009E6E13" w:rsidRDefault="009E6E13" w:rsidP="009E6E13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202</w:t>
      </w:r>
      <w:r w:rsidR="007C219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="00DA26F5">
        <w:rPr>
          <w:b/>
          <w:sz w:val="24"/>
          <w:szCs w:val="24"/>
        </w:rPr>
        <w:t>5</w:t>
      </w:r>
    </w:p>
    <w:p w14:paraId="758BB4BF" w14:textId="77777777" w:rsidR="00A54E29" w:rsidRPr="00C87869" w:rsidRDefault="00A54E29" w:rsidP="009E6E13">
      <w:pPr>
        <w:ind w:left="720" w:right="720"/>
        <w:jc w:val="center"/>
        <w:rPr>
          <w:b/>
          <w:sz w:val="24"/>
          <w:szCs w:val="24"/>
        </w:rPr>
      </w:pPr>
    </w:p>
    <w:p w14:paraId="393D0985" w14:textId="77777777" w:rsidR="009E6E13" w:rsidRPr="00C87869" w:rsidRDefault="009E6E13" w:rsidP="009E6E13">
      <w:pPr>
        <w:ind w:left="720" w:right="720"/>
        <w:rPr>
          <w:sz w:val="24"/>
          <w:szCs w:val="24"/>
        </w:rPr>
      </w:pPr>
    </w:p>
    <w:p w14:paraId="2B6DC992" w14:textId="281B688B" w:rsidR="000D69BB" w:rsidRDefault="000D69BB" w:rsidP="000D69BB">
      <w:pPr>
        <w:ind w:left="720" w:right="720"/>
        <w:rPr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, </w:t>
      </w:r>
      <w:r w:rsidR="00DA26F5">
        <w:rPr>
          <w:sz w:val="24"/>
          <w:szCs w:val="24"/>
        </w:rPr>
        <w:t>the State of Alaska regularly procures</w:t>
      </w:r>
      <w:r w:rsidR="00904260">
        <w:rPr>
          <w:sz w:val="24"/>
          <w:szCs w:val="24"/>
        </w:rPr>
        <w:t xml:space="preserve"> technology</w:t>
      </w:r>
      <w:r w:rsidR="00DA26F5">
        <w:rPr>
          <w:sz w:val="24"/>
          <w:szCs w:val="24"/>
        </w:rPr>
        <w:t xml:space="preserve"> with interfaces for the public, such as registration kiosks at the Division of Motor Vehicles</w:t>
      </w:r>
      <w:r w:rsidR="00746B5D">
        <w:rPr>
          <w:sz w:val="24"/>
          <w:szCs w:val="24"/>
        </w:rPr>
        <w:t>,</w:t>
      </w:r>
      <w:r w:rsidR="00DA26F5">
        <w:rPr>
          <w:sz w:val="24"/>
          <w:szCs w:val="24"/>
        </w:rPr>
        <w:t xml:space="preserve"> voting tablets used by the Division of Elections</w:t>
      </w:r>
      <w:r w:rsidR="00746B5D">
        <w:rPr>
          <w:sz w:val="24"/>
          <w:szCs w:val="24"/>
        </w:rPr>
        <w:t>, and computer terminals set up for the public at some Department of Labor locations</w:t>
      </w:r>
      <w:r>
        <w:rPr>
          <w:sz w:val="24"/>
          <w:szCs w:val="24"/>
        </w:rPr>
        <w:t>; and,</w:t>
      </w:r>
    </w:p>
    <w:p w14:paraId="2169CC11" w14:textId="72C66F0E" w:rsidR="000D69BB" w:rsidRDefault="000D69BB" w:rsidP="000D69BB">
      <w:pPr>
        <w:ind w:left="720" w:right="720"/>
        <w:rPr>
          <w:sz w:val="24"/>
          <w:szCs w:val="24"/>
        </w:rPr>
      </w:pPr>
    </w:p>
    <w:p w14:paraId="419F65D8" w14:textId="5343D1B0" w:rsidR="000D69BB" w:rsidRDefault="000D69BB" w:rsidP="000D69BB">
      <w:pPr>
        <w:ind w:left="720" w:right="720"/>
        <w:rPr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, </w:t>
      </w:r>
      <w:r w:rsidR="00DA26F5">
        <w:rPr>
          <w:sz w:val="24"/>
          <w:szCs w:val="24"/>
        </w:rPr>
        <w:t xml:space="preserve">the </w:t>
      </w:r>
      <w:r w:rsidR="00170621">
        <w:rPr>
          <w:sz w:val="24"/>
          <w:szCs w:val="24"/>
        </w:rPr>
        <w:t>state’s</w:t>
      </w:r>
      <w:r w:rsidR="00904260">
        <w:rPr>
          <w:sz w:val="24"/>
          <w:szCs w:val="24"/>
        </w:rPr>
        <w:t xml:space="preserve"> Americans with Disabilities Act </w:t>
      </w:r>
      <w:r w:rsidR="00170621">
        <w:rPr>
          <w:sz w:val="24"/>
          <w:szCs w:val="24"/>
        </w:rPr>
        <w:t>Compliance Program’s policy statement provides</w:t>
      </w:r>
      <w:r w:rsidR="00DA26F5">
        <w:rPr>
          <w:sz w:val="24"/>
          <w:szCs w:val="24"/>
        </w:rPr>
        <w:t xml:space="preserve"> that</w:t>
      </w:r>
      <w:r w:rsidR="00904260">
        <w:rPr>
          <w:sz w:val="24"/>
          <w:szCs w:val="24"/>
        </w:rPr>
        <w:t xml:space="preserve"> “no qualified individual with a disability shall be excluded, by reason of such disability, from participation in or be denied the benefits of the service, programs, or activities of a state agency; or be subjected to discrimination by any such agency</w:t>
      </w:r>
      <w:r w:rsidR="003758E6">
        <w:rPr>
          <w:sz w:val="24"/>
          <w:szCs w:val="24"/>
        </w:rPr>
        <w:t>;</w:t>
      </w:r>
      <w:r w:rsidR="00904260">
        <w:rPr>
          <w:sz w:val="24"/>
          <w:szCs w:val="24"/>
        </w:rPr>
        <w:t>”</w:t>
      </w:r>
      <w:r w:rsidR="003758E6">
        <w:rPr>
          <w:sz w:val="24"/>
          <w:szCs w:val="24"/>
        </w:rPr>
        <w:t xml:space="preserve"> and,</w:t>
      </w:r>
    </w:p>
    <w:p w14:paraId="2983F13F" w14:textId="45CABEA0" w:rsidR="003758E6" w:rsidRDefault="003758E6" w:rsidP="000D69BB">
      <w:pPr>
        <w:ind w:left="720" w:right="720"/>
        <w:rPr>
          <w:sz w:val="24"/>
          <w:szCs w:val="24"/>
        </w:rPr>
      </w:pPr>
    </w:p>
    <w:p w14:paraId="0DFFD792" w14:textId="6ACCADE6" w:rsidR="003758E6" w:rsidRDefault="003758E6" w:rsidP="000D69BB">
      <w:pPr>
        <w:ind w:left="720" w:right="720"/>
        <w:rPr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, </w:t>
      </w:r>
      <w:r w:rsidR="00904260">
        <w:rPr>
          <w:sz w:val="24"/>
          <w:szCs w:val="24"/>
        </w:rPr>
        <w:t>AS 18.80.255 makes it unlawful for the state “to refuse or deny to a person any local, state, or federal funds, services, goods, facilities, advantages, or privileges because of physical or mental disability;” and</w:t>
      </w:r>
      <w:r w:rsidR="00E81271">
        <w:rPr>
          <w:sz w:val="24"/>
          <w:szCs w:val="24"/>
        </w:rPr>
        <w:t>,</w:t>
      </w:r>
    </w:p>
    <w:p w14:paraId="55E5A200" w14:textId="6584B1AA" w:rsidR="00E81271" w:rsidRDefault="00E81271" w:rsidP="000D69BB">
      <w:pPr>
        <w:ind w:left="720" w:right="720"/>
        <w:rPr>
          <w:sz w:val="24"/>
          <w:szCs w:val="24"/>
        </w:rPr>
      </w:pPr>
    </w:p>
    <w:p w14:paraId="2EA0B487" w14:textId="1F688F9E" w:rsidR="00E81271" w:rsidRDefault="00E81271" w:rsidP="000D69BB">
      <w:pPr>
        <w:ind w:left="720" w:right="720"/>
        <w:rPr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, </w:t>
      </w:r>
      <w:r w:rsidR="00904260">
        <w:rPr>
          <w:sz w:val="24"/>
          <w:szCs w:val="24"/>
        </w:rPr>
        <w:t>the state’s procurement officers do not always consistently consider accessibility when soliciting and purchasing hardware and software that requires a public interface.</w:t>
      </w:r>
    </w:p>
    <w:p w14:paraId="61342C64" w14:textId="77777777" w:rsidR="00A54E29" w:rsidRPr="00C87869" w:rsidRDefault="00A54E29" w:rsidP="00904260">
      <w:pPr>
        <w:ind w:right="720"/>
        <w:rPr>
          <w:sz w:val="24"/>
          <w:szCs w:val="24"/>
        </w:rPr>
      </w:pPr>
    </w:p>
    <w:p w14:paraId="2E22878A" w14:textId="110CDF70" w:rsidR="00904260" w:rsidRDefault="009E6E13" w:rsidP="009E6E13">
      <w:pPr>
        <w:ind w:left="720" w:right="720"/>
        <w:rPr>
          <w:rFonts w:eastAsiaTheme="minorHAnsi"/>
          <w:sz w:val="24"/>
          <w:szCs w:val="24"/>
        </w:rPr>
      </w:pPr>
      <w:r w:rsidRPr="00C87869">
        <w:rPr>
          <w:b/>
          <w:sz w:val="24"/>
          <w:szCs w:val="24"/>
        </w:rPr>
        <w:t>NOW, THEREFORE, BE IT RESOLVED</w:t>
      </w:r>
      <w:r w:rsidRPr="00C87869">
        <w:rPr>
          <w:sz w:val="24"/>
          <w:szCs w:val="24"/>
        </w:rPr>
        <w:t>, that the Alaska State Commission for Human Rights</w:t>
      </w:r>
      <w:r w:rsidR="00904260">
        <w:rPr>
          <w:sz w:val="24"/>
          <w:szCs w:val="24"/>
        </w:rPr>
        <w:t xml:space="preserve"> calls on the Governor to notify all State of Alaska procurement officers and </w:t>
      </w:r>
      <w:r w:rsidR="00170621">
        <w:rPr>
          <w:sz w:val="24"/>
          <w:szCs w:val="24"/>
        </w:rPr>
        <w:t>other state employees</w:t>
      </w:r>
      <w:r w:rsidR="00904260">
        <w:rPr>
          <w:sz w:val="24"/>
          <w:szCs w:val="24"/>
        </w:rPr>
        <w:t xml:space="preserve"> with purchasing authority to consider accessibility</w:t>
      </w:r>
      <w:r w:rsidR="00170621">
        <w:rPr>
          <w:sz w:val="24"/>
          <w:szCs w:val="24"/>
        </w:rPr>
        <w:t xml:space="preserve"> for those with physical or mental disabilities, as is required by state policy and state statute,</w:t>
      </w:r>
      <w:r w:rsidR="00904260">
        <w:rPr>
          <w:sz w:val="24"/>
          <w:szCs w:val="24"/>
        </w:rPr>
        <w:t xml:space="preserve"> when procuring technology that requires a public interface.</w:t>
      </w:r>
    </w:p>
    <w:p w14:paraId="5DA1C99D" w14:textId="77777777" w:rsidR="00904260" w:rsidRDefault="00904260" w:rsidP="009E6E13">
      <w:pPr>
        <w:ind w:left="720" w:right="720"/>
        <w:rPr>
          <w:rFonts w:eastAsiaTheme="minorHAnsi"/>
          <w:sz w:val="24"/>
          <w:szCs w:val="24"/>
        </w:rPr>
      </w:pPr>
    </w:p>
    <w:p w14:paraId="2581E207" w14:textId="77777777" w:rsidR="00904260" w:rsidRPr="00C87869" w:rsidRDefault="00904260" w:rsidP="00904260">
      <w:pPr>
        <w:ind w:left="720" w:right="720"/>
        <w:rPr>
          <w:sz w:val="24"/>
          <w:szCs w:val="24"/>
        </w:rPr>
      </w:pPr>
      <w:r w:rsidRPr="00C87869">
        <w:rPr>
          <w:sz w:val="24"/>
          <w:szCs w:val="24"/>
        </w:rPr>
        <w:t>Copies of this resolution shall be forwarded to</w:t>
      </w:r>
      <w:r>
        <w:rPr>
          <w:sz w:val="24"/>
          <w:szCs w:val="24"/>
        </w:rPr>
        <w:t xml:space="preserve"> the </w:t>
      </w:r>
      <w:r w:rsidRPr="00C87869">
        <w:rPr>
          <w:sz w:val="24"/>
          <w:szCs w:val="24"/>
        </w:rPr>
        <w:t>Office of the Governor</w:t>
      </w:r>
      <w:r>
        <w:rPr>
          <w:sz w:val="24"/>
          <w:szCs w:val="24"/>
        </w:rPr>
        <w:t xml:space="preserve"> and all members of the Alaska Legislature.</w:t>
      </w:r>
    </w:p>
    <w:p w14:paraId="78F55509" w14:textId="77777777" w:rsidR="009E6E13" w:rsidRPr="00C87869" w:rsidRDefault="009E6E13" w:rsidP="009E6E13">
      <w:pPr>
        <w:ind w:left="720" w:right="720"/>
        <w:rPr>
          <w:sz w:val="24"/>
          <w:szCs w:val="24"/>
        </w:rPr>
      </w:pPr>
    </w:p>
    <w:p w14:paraId="76CC26EA" w14:textId="0646F40A" w:rsidR="009E6E13" w:rsidRPr="00C87869" w:rsidRDefault="009E6E13" w:rsidP="009E6E13">
      <w:pPr>
        <w:ind w:left="720" w:right="720"/>
        <w:rPr>
          <w:sz w:val="24"/>
          <w:szCs w:val="24"/>
        </w:rPr>
      </w:pPr>
      <w:r w:rsidRPr="00C87869">
        <w:rPr>
          <w:b/>
          <w:sz w:val="24"/>
          <w:szCs w:val="24"/>
        </w:rPr>
        <w:t>ADOPTED</w:t>
      </w:r>
      <w:r w:rsidRPr="00C87869">
        <w:rPr>
          <w:sz w:val="24"/>
          <w:szCs w:val="24"/>
        </w:rPr>
        <w:t xml:space="preserve"> at </w:t>
      </w:r>
      <w:r w:rsidR="0051153B">
        <w:rPr>
          <w:sz w:val="24"/>
          <w:szCs w:val="24"/>
        </w:rPr>
        <w:t>Sitka</w:t>
      </w:r>
      <w:r w:rsidRPr="00C87869">
        <w:rPr>
          <w:sz w:val="24"/>
          <w:szCs w:val="24"/>
        </w:rPr>
        <w:t xml:space="preserve">, Alaska, this </w:t>
      </w:r>
      <w:r w:rsidR="00715830">
        <w:rPr>
          <w:sz w:val="24"/>
          <w:szCs w:val="24"/>
        </w:rPr>
        <w:t xml:space="preserve">___ </w:t>
      </w:r>
      <w:r w:rsidRPr="00C87869">
        <w:rPr>
          <w:sz w:val="24"/>
          <w:szCs w:val="24"/>
        </w:rPr>
        <w:t xml:space="preserve">day of </w:t>
      </w:r>
      <w:r w:rsidR="00715830">
        <w:rPr>
          <w:sz w:val="24"/>
          <w:szCs w:val="24"/>
        </w:rPr>
        <w:t>_________</w:t>
      </w:r>
      <w:r w:rsidRPr="00C87869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715830">
        <w:rPr>
          <w:sz w:val="24"/>
          <w:szCs w:val="24"/>
        </w:rPr>
        <w:t>2</w:t>
      </w:r>
    </w:p>
    <w:p w14:paraId="10FDDE77" w14:textId="77777777" w:rsidR="009E6E13" w:rsidRPr="00C87869" w:rsidRDefault="009E6E13" w:rsidP="009E6E13">
      <w:pPr>
        <w:ind w:left="720" w:right="720"/>
        <w:rPr>
          <w:sz w:val="24"/>
          <w:szCs w:val="24"/>
        </w:rPr>
      </w:pPr>
    </w:p>
    <w:p w14:paraId="764C2DA7" w14:textId="77777777" w:rsidR="009E6E13" w:rsidRPr="00C87869" w:rsidRDefault="009E6E13" w:rsidP="009E6E13">
      <w:pPr>
        <w:ind w:left="720" w:right="720"/>
        <w:rPr>
          <w:sz w:val="24"/>
          <w:szCs w:val="24"/>
        </w:rPr>
      </w:pPr>
    </w:p>
    <w:p w14:paraId="6380693C" w14:textId="77777777" w:rsidR="009E6E13" w:rsidRPr="00C87869" w:rsidRDefault="009E6E13" w:rsidP="009E6E13">
      <w:pPr>
        <w:ind w:left="720" w:right="720"/>
        <w:rPr>
          <w:sz w:val="24"/>
          <w:szCs w:val="24"/>
        </w:rPr>
      </w:pPr>
    </w:p>
    <w:p w14:paraId="50520F84" w14:textId="77777777" w:rsidR="009E6E13" w:rsidRPr="00C87869" w:rsidRDefault="009E6E13" w:rsidP="009E6E13">
      <w:pPr>
        <w:ind w:left="720" w:right="720"/>
        <w:rPr>
          <w:sz w:val="24"/>
          <w:szCs w:val="24"/>
        </w:rPr>
      </w:pPr>
    </w:p>
    <w:p w14:paraId="772A2A4B" w14:textId="77777777" w:rsidR="009E6E13" w:rsidRPr="00C87869" w:rsidRDefault="009E6E13" w:rsidP="009E6E13">
      <w:pPr>
        <w:ind w:left="720" w:right="720"/>
        <w:rPr>
          <w:sz w:val="24"/>
          <w:szCs w:val="24"/>
        </w:rPr>
      </w:pPr>
      <w:r w:rsidRPr="00C87869">
        <w:rPr>
          <w:sz w:val="24"/>
          <w:szCs w:val="24"/>
        </w:rPr>
        <w:t>____________________________________</w:t>
      </w:r>
    </w:p>
    <w:p w14:paraId="5C71A842" w14:textId="0F1BAD17" w:rsidR="009E6E13" w:rsidRDefault="00B14419" w:rsidP="009E6E1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Zackary Gottshall</w:t>
      </w:r>
    </w:p>
    <w:p w14:paraId="27A57C4E" w14:textId="76C56D7D" w:rsidR="009E6E13" w:rsidRPr="00CF2890" w:rsidRDefault="009E6E13" w:rsidP="009E6E13">
      <w:pPr>
        <w:ind w:left="720" w:right="720"/>
        <w:rPr>
          <w:sz w:val="24"/>
          <w:szCs w:val="24"/>
        </w:rPr>
      </w:pPr>
      <w:r w:rsidRPr="00C87869">
        <w:rPr>
          <w:sz w:val="24"/>
          <w:szCs w:val="24"/>
        </w:rPr>
        <w:t>Chairperson</w:t>
      </w:r>
    </w:p>
    <w:p w14:paraId="129E75F5" w14:textId="77777777" w:rsidR="009E6E13" w:rsidRPr="00CF2890" w:rsidRDefault="009E6E13" w:rsidP="009E6E13">
      <w:pPr>
        <w:ind w:left="720" w:right="720"/>
        <w:rPr>
          <w:sz w:val="24"/>
          <w:szCs w:val="24"/>
        </w:rPr>
      </w:pPr>
      <w:r w:rsidRPr="00CF2890">
        <w:rPr>
          <w:sz w:val="24"/>
          <w:szCs w:val="24"/>
        </w:rPr>
        <w:lastRenderedPageBreak/>
        <w:t xml:space="preserve">Alaska State Commission for Human Rights </w:t>
      </w:r>
    </w:p>
    <w:p w14:paraId="5691E97C" w14:textId="37D2071C" w:rsidR="00CA427B" w:rsidRPr="00CF2890" w:rsidRDefault="00CA427B" w:rsidP="009E6E13">
      <w:pPr>
        <w:ind w:left="720" w:right="720"/>
        <w:rPr>
          <w:sz w:val="26"/>
          <w:szCs w:val="26"/>
        </w:rPr>
      </w:pPr>
    </w:p>
    <w:p w14:paraId="0F67A0E8" w14:textId="6EED766E" w:rsidR="00A54E29" w:rsidRPr="00CF2890" w:rsidRDefault="00A54E29" w:rsidP="009E6E13">
      <w:pPr>
        <w:ind w:left="720" w:right="720"/>
        <w:rPr>
          <w:sz w:val="26"/>
          <w:szCs w:val="26"/>
        </w:rPr>
      </w:pPr>
    </w:p>
    <w:p w14:paraId="26E54C14" w14:textId="45A46751" w:rsidR="00A54E29" w:rsidRPr="00CF2890" w:rsidRDefault="00A54E29" w:rsidP="009E6E13">
      <w:pPr>
        <w:ind w:left="720" w:right="720"/>
        <w:rPr>
          <w:sz w:val="26"/>
          <w:szCs w:val="26"/>
        </w:rPr>
      </w:pPr>
    </w:p>
    <w:p w14:paraId="4F1C7647" w14:textId="11F25232" w:rsidR="00A54E29" w:rsidRPr="00CF2890" w:rsidRDefault="00A54E29" w:rsidP="009E6E13">
      <w:pPr>
        <w:ind w:left="720" w:right="720"/>
        <w:rPr>
          <w:sz w:val="24"/>
          <w:szCs w:val="24"/>
        </w:rPr>
      </w:pPr>
    </w:p>
    <w:p w14:paraId="1847F7D2" w14:textId="77777777" w:rsidR="00A54E29" w:rsidRPr="00CF2890" w:rsidRDefault="00A54E29" w:rsidP="009E6E13">
      <w:pPr>
        <w:ind w:left="720" w:right="720"/>
        <w:rPr>
          <w:sz w:val="24"/>
          <w:szCs w:val="24"/>
        </w:rPr>
      </w:pPr>
    </w:p>
    <w:p w14:paraId="06761C38" w14:textId="7DCB373D" w:rsidR="00A54E29" w:rsidRPr="00CF2890" w:rsidRDefault="00A54E29" w:rsidP="00A54E29">
      <w:pPr>
        <w:ind w:left="720" w:right="720" w:firstLine="4680"/>
        <w:rPr>
          <w:sz w:val="24"/>
          <w:szCs w:val="24"/>
        </w:rPr>
      </w:pPr>
      <w:r w:rsidRPr="00CF2890">
        <w:rPr>
          <w:sz w:val="24"/>
          <w:szCs w:val="24"/>
        </w:rPr>
        <w:t xml:space="preserve">I hereby certify that the foregoing Resolution </w:t>
      </w:r>
    </w:p>
    <w:p w14:paraId="3DCCD3C5" w14:textId="6A8003D3" w:rsidR="00A54E29" w:rsidRPr="00CF2890" w:rsidRDefault="00A54E29" w:rsidP="00A54E29">
      <w:pPr>
        <w:ind w:left="720" w:right="720" w:firstLine="4680"/>
        <w:rPr>
          <w:sz w:val="24"/>
          <w:szCs w:val="24"/>
        </w:rPr>
      </w:pPr>
      <w:r w:rsidRPr="00CF2890">
        <w:rPr>
          <w:sz w:val="24"/>
          <w:szCs w:val="24"/>
        </w:rPr>
        <w:t>202</w:t>
      </w:r>
      <w:r w:rsidR="00715830" w:rsidRPr="00CF2890">
        <w:rPr>
          <w:sz w:val="24"/>
          <w:szCs w:val="24"/>
        </w:rPr>
        <w:t>2</w:t>
      </w:r>
      <w:r w:rsidRPr="00CF2890">
        <w:rPr>
          <w:sz w:val="24"/>
          <w:szCs w:val="24"/>
        </w:rPr>
        <w:t>-</w:t>
      </w:r>
      <w:r w:rsidR="00904260">
        <w:rPr>
          <w:sz w:val="24"/>
          <w:szCs w:val="24"/>
        </w:rPr>
        <w:t>5</w:t>
      </w:r>
      <w:r w:rsidRPr="00CF2890">
        <w:rPr>
          <w:sz w:val="24"/>
          <w:szCs w:val="24"/>
        </w:rPr>
        <w:t xml:space="preserve"> is a true and accurate copy of the </w:t>
      </w:r>
    </w:p>
    <w:p w14:paraId="6E619362" w14:textId="77777777" w:rsidR="00A54E29" w:rsidRPr="00CF2890" w:rsidRDefault="00A54E29" w:rsidP="00A54E29">
      <w:pPr>
        <w:ind w:left="720" w:right="720" w:firstLine="4680"/>
        <w:rPr>
          <w:sz w:val="24"/>
          <w:szCs w:val="24"/>
        </w:rPr>
      </w:pPr>
      <w:r w:rsidRPr="00CF2890">
        <w:rPr>
          <w:sz w:val="24"/>
          <w:szCs w:val="24"/>
        </w:rPr>
        <w:t xml:space="preserve">language adopted by the Commission on </w:t>
      </w:r>
    </w:p>
    <w:p w14:paraId="03AC3CAD" w14:textId="0E5CC75D" w:rsidR="009E6E13" w:rsidRPr="00CF2890" w:rsidRDefault="00CF2890" w:rsidP="00A54E29">
      <w:pPr>
        <w:ind w:left="720" w:right="720" w:firstLine="468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715830" w:rsidRPr="00CF2890">
        <w:rPr>
          <w:sz w:val="24"/>
          <w:szCs w:val="24"/>
        </w:rPr>
        <w:t>__, 2022</w:t>
      </w:r>
      <w:r w:rsidR="00A54E29" w:rsidRPr="00CF2890">
        <w:rPr>
          <w:sz w:val="24"/>
          <w:szCs w:val="24"/>
        </w:rPr>
        <w:t>.</w:t>
      </w:r>
    </w:p>
    <w:p w14:paraId="00015981" w14:textId="4ED35C71" w:rsidR="009E6E13" w:rsidRPr="00CF2890" w:rsidRDefault="009E6E13" w:rsidP="00A54E29">
      <w:pPr>
        <w:ind w:left="720" w:right="720" w:firstLine="4680"/>
        <w:rPr>
          <w:sz w:val="24"/>
          <w:szCs w:val="24"/>
        </w:rPr>
      </w:pPr>
    </w:p>
    <w:p w14:paraId="1D8E3155" w14:textId="730741FF" w:rsidR="009E6E13" w:rsidRPr="00CF2890" w:rsidRDefault="009E6E13" w:rsidP="00A54E29">
      <w:pPr>
        <w:ind w:left="720" w:right="720" w:firstLine="4680"/>
        <w:rPr>
          <w:sz w:val="24"/>
          <w:szCs w:val="24"/>
        </w:rPr>
      </w:pPr>
    </w:p>
    <w:p w14:paraId="41C28D8B" w14:textId="77777777" w:rsidR="009E6E13" w:rsidRPr="00CF2890" w:rsidRDefault="009E6E13" w:rsidP="00A54E29">
      <w:pPr>
        <w:ind w:left="720" w:right="720" w:firstLine="4680"/>
        <w:rPr>
          <w:sz w:val="24"/>
          <w:szCs w:val="24"/>
        </w:rPr>
      </w:pPr>
      <w:r w:rsidRPr="00CF2890">
        <w:rPr>
          <w:sz w:val="24"/>
          <w:szCs w:val="24"/>
        </w:rPr>
        <w:t>____________________________________</w:t>
      </w:r>
    </w:p>
    <w:p w14:paraId="5FBCF306" w14:textId="26EFB22B" w:rsidR="009E6E13" w:rsidRPr="00CF2890" w:rsidRDefault="00904260" w:rsidP="00A54E29">
      <w:pPr>
        <w:ind w:left="720" w:right="720" w:firstLine="4680"/>
        <w:rPr>
          <w:sz w:val="24"/>
          <w:szCs w:val="24"/>
        </w:rPr>
      </w:pPr>
      <w:r>
        <w:rPr>
          <w:sz w:val="24"/>
          <w:szCs w:val="24"/>
        </w:rPr>
        <w:t>Angela Park</w:t>
      </w:r>
    </w:p>
    <w:p w14:paraId="6EC40BBD" w14:textId="321271D7" w:rsidR="009E6E13" w:rsidRPr="00CF2890" w:rsidRDefault="009E6E13" w:rsidP="00A54E29">
      <w:pPr>
        <w:ind w:left="720" w:right="720" w:firstLine="4680"/>
        <w:rPr>
          <w:sz w:val="24"/>
          <w:szCs w:val="24"/>
        </w:rPr>
      </w:pPr>
      <w:r w:rsidRPr="00CF2890">
        <w:rPr>
          <w:sz w:val="24"/>
          <w:szCs w:val="24"/>
        </w:rPr>
        <w:t>Secretary</w:t>
      </w:r>
    </w:p>
    <w:p w14:paraId="72033457" w14:textId="77777777" w:rsidR="009E6E13" w:rsidRPr="00CF2890" w:rsidRDefault="009E6E13" w:rsidP="00A54E29">
      <w:pPr>
        <w:ind w:left="720" w:right="720" w:firstLine="4680"/>
        <w:rPr>
          <w:sz w:val="24"/>
          <w:szCs w:val="24"/>
        </w:rPr>
      </w:pPr>
      <w:r w:rsidRPr="00CF2890">
        <w:rPr>
          <w:sz w:val="24"/>
          <w:szCs w:val="24"/>
        </w:rPr>
        <w:t xml:space="preserve">Alaska State Commission for Human Rights </w:t>
      </w:r>
    </w:p>
    <w:p w14:paraId="787BD5B6" w14:textId="77777777" w:rsidR="009E6E13" w:rsidRPr="00CA427B" w:rsidRDefault="009E6E13" w:rsidP="009E6E13">
      <w:pPr>
        <w:ind w:left="720" w:right="720"/>
        <w:rPr>
          <w:rFonts w:ascii="Garamond" w:hAnsi="Garamond"/>
          <w:sz w:val="26"/>
          <w:szCs w:val="26"/>
        </w:rPr>
      </w:pPr>
    </w:p>
    <w:sectPr w:rsidR="009E6E13" w:rsidRPr="00CA427B" w:rsidSect="00357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1440" w:left="720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7E91" w14:textId="77777777" w:rsidR="00A56EC5" w:rsidRDefault="00A56EC5">
      <w:r>
        <w:separator/>
      </w:r>
    </w:p>
  </w:endnote>
  <w:endnote w:type="continuationSeparator" w:id="0">
    <w:p w14:paraId="6D6ABEA2" w14:textId="77777777" w:rsidR="00A56EC5" w:rsidRDefault="00A5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B00D" w14:textId="77777777" w:rsidR="00540EA4" w:rsidRDefault="00540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92E3" w14:textId="54092506" w:rsidR="00540EA4" w:rsidRDefault="00540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45C2" w14:textId="65C83349" w:rsidR="00EF224C" w:rsidRDefault="00D86F30" w:rsidP="00EF224C">
    <w:pPr>
      <w:pStyle w:val="Footer"/>
      <w:ind w:left="-1800"/>
    </w:pPr>
    <w:r w:rsidRPr="00D86F30">
      <w:t>machete skis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85A2" w14:textId="77777777" w:rsidR="00A56EC5" w:rsidRDefault="00A56EC5">
      <w:r>
        <w:separator/>
      </w:r>
    </w:p>
  </w:footnote>
  <w:footnote w:type="continuationSeparator" w:id="0">
    <w:p w14:paraId="7B80E36B" w14:textId="77777777" w:rsidR="00A56EC5" w:rsidRDefault="00A5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1285" w14:textId="77777777" w:rsidR="00540EA4" w:rsidRDefault="00540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19E5" w14:textId="77777777" w:rsidR="00E4229C" w:rsidRDefault="00E4229C" w:rsidP="00E4229C">
    <w:pPr>
      <w:pStyle w:val="Header"/>
      <w:ind w:left="-180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AF184A" wp14:editId="0043AFEB">
          <wp:simplePos x="0" y="0"/>
          <wp:positionH relativeFrom="page">
            <wp:posOffset>17680</wp:posOffset>
          </wp:positionH>
          <wp:positionV relativeFrom="paragraph">
            <wp:posOffset>-869950</wp:posOffset>
          </wp:positionV>
          <wp:extent cx="7726680" cy="10003536"/>
          <wp:effectExtent l="0" t="0" r="762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10003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132893" w14:textId="77777777" w:rsidR="00AD51D7" w:rsidRDefault="00AD51D7" w:rsidP="00EF224C">
    <w:pPr>
      <w:pStyle w:val="Header"/>
      <w:tabs>
        <w:tab w:val="clear" w:pos="4680"/>
        <w:tab w:val="clear" w:pos="9360"/>
        <w:tab w:val="left" w:pos="1372"/>
      </w:tabs>
      <w:ind w:left="-1710" w:firstLine="1710"/>
    </w:pPr>
  </w:p>
  <w:p w14:paraId="4D088D0E" w14:textId="77777777" w:rsidR="00AD51D7" w:rsidRDefault="00AD51D7" w:rsidP="00EF224C">
    <w:pPr>
      <w:pStyle w:val="Header"/>
      <w:tabs>
        <w:tab w:val="clear" w:pos="4680"/>
        <w:tab w:val="clear" w:pos="9360"/>
        <w:tab w:val="left" w:pos="1372"/>
      </w:tabs>
      <w:ind w:left="-1710" w:firstLine="1710"/>
    </w:pPr>
  </w:p>
  <w:p w14:paraId="5C184373" w14:textId="77777777" w:rsidR="00E4229C" w:rsidRPr="00AD51D7" w:rsidRDefault="00460C67" w:rsidP="00EF224C">
    <w:pPr>
      <w:pStyle w:val="Header"/>
      <w:tabs>
        <w:tab w:val="clear" w:pos="4680"/>
        <w:tab w:val="clear" w:pos="9360"/>
        <w:tab w:val="left" w:pos="1372"/>
      </w:tabs>
      <w:ind w:left="-1710" w:firstLine="1710"/>
      <w:rPr>
        <w:rFonts w:ascii="Garamond" w:hAnsi="Garamond"/>
        <w:sz w:val="26"/>
        <w:szCs w:val="26"/>
      </w:rPr>
    </w:pPr>
    <w:r w:rsidRPr="00AD51D7">
      <w:rPr>
        <w:rFonts w:ascii="Garamond" w:hAnsi="Garamond"/>
        <w:sz w:val="26"/>
        <w:szCs w:val="26"/>
      </w:rPr>
      <w:t xml:space="preserve">Page </w:t>
    </w:r>
    <w:r w:rsidRPr="00AD51D7">
      <w:rPr>
        <w:rFonts w:ascii="Garamond" w:hAnsi="Garamond"/>
        <w:sz w:val="26"/>
        <w:szCs w:val="26"/>
      </w:rPr>
      <w:fldChar w:fldCharType="begin"/>
    </w:r>
    <w:r w:rsidRPr="00AD51D7">
      <w:rPr>
        <w:rFonts w:ascii="Garamond" w:hAnsi="Garamond"/>
        <w:sz w:val="26"/>
        <w:szCs w:val="26"/>
      </w:rPr>
      <w:instrText xml:space="preserve"> PAGE  \* Arabic  \* MERGEFORMAT </w:instrText>
    </w:r>
    <w:r w:rsidRPr="00AD51D7">
      <w:rPr>
        <w:rFonts w:ascii="Garamond" w:hAnsi="Garamond"/>
        <w:sz w:val="26"/>
        <w:szCs w:val="26"/>
      </w:rPr>
      <w:fldChar w:fldCharType="separate"/>
    </w:r>
    <w:r w:rsidR="003C09A4">
      <w:rPr>
        <w:rFonts w:ascii="Garamond" w:hAnsi="Garamond"/>
        <w:noProof/>
        <w:sz w:val="26"/>
        <w:szCs w:val="26"/>
      </w:rPr>
      <w:t>2</w:t>
    </w:r>
    <w:r w:rsidRPr="00AD51D7">
      <w:rPr>
        <w:rFonts w:ascii="Garamond" w:hAnsi="Garamond"/>
        <w:sz w:val="26"/>
        <w:szCs w:val="26"/>
      </w:rPr>
      <w:fldChar w:fldCharType="end"/>
    </w:r>
  </w:p>
  <w:p w14:paraId="29E08C2A" w14:textId="77777777" w:rsidR="00AD51D7" w:rsidRPr="00AD51D7" w:rsidRDefault="00AD51D7" w:rsidP="00EF224C">
    <w:pPr>
      <w:pStyle w:val="Header"/>
      <w:tabs>
        <w:tab w:val="clear" w:pos="4680"/>
        <w:tab w:val="clear" w:pos="9360"/>
        <w:tab w:val="left" w:pos="1372"/>
      </w:tabs>
      <w:ind w:left="-1710" w:firstLine="1710"/>
      <w:rPr>
        <w:rFonts w:ascii="Garamond" w:hAnsi="Garamond"/>
        <w:sz w:val="26"/>
        <w:szCs w:val="26"/>
      </w:rPr>
    </w:pPr>
  </w:p>
  <w:p w14:paraId="266DE4A0" w14:textId="77777777" w:rsidR="00AD51D7" w:rsidRDefault="00AD51D7" w:rsidP="00EF224C">
    <w:pPr>
      <w:pStyle w:val="Header"/>
      <w:tabs>
        <w:tab w:val="clear" w:pos="4680"/>
        <w:tab w:val="clear" w:pos="9360"/>
        <w:tab w:val="left" w:pos="1372"/>
      </w:tabs>
      <w:ind w:left="-1710" w:firstLine="17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3925" w14:textId="77777777" w:rsidR="001936C5" w:rsidRDefault="00EF224C" w:rsidP="00EF224C">
    <w:pPr>
      <w:pStyle w:val="Header"/>
      <w:ind w:left="-180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C08677" wp14:editId="57F350A2">
          <wp:simplePos x="0" y="0"/>
          <wp:positionH relativeFrom="column">
            <wp:posOffset>-1115959</wp:posOffset>
          </wp:positionH>
          <wp:positionV relativeFrom="paragraph">
            <wp:posOffset>-871220</wp:posOffset>
          </wp:positionV>
          <wp:extent cx="7724140" cy="1000442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1000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693111" wp14:editId="5A8C2753">
          <wp:extent cx="8555241" cy="301925"/>
          <wp:effectExtent l="0" t="0" r="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5079" cy="323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1733"/>
    <w:multiLevelType w:val="hybridMultilevel"/>
    <w:tmpl w:val="13E82918"/>
    <w:lvl w:ilvl="0" w:tplc="FEBAD0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C5"/>
    <w:rsid w:val="00011439"/>
    <w:rsid w:val="00076AE7"/>
    <w:rsid w:val="000D69BB"/>
    <w:rsid w:val="000F449E"/>
    <w:rsid w:val="00100C89"/>
    <w:rsid w:val="001433EF"/>
    <w:rsid w:val="00157C90"/>
    <w:rsid w:val="00170621"/>
    <w:rsid w:val="001936C5"/>
    <w:rsid w:val="00215302"/>
    <w:rsid w:val="00257FC3"/>
    <w:rsid w:val="002C2D1F"/>
    <w:rsid w:val="00345AF2"/>
    <w:rsid w:val="00357D16"/>
    <w:rsid w:val="003758E6"/>
    <w:rsid w:val="00393DEB"/>
    <w:rsid w:val="003C09A4"/>
    <w:rsid w:val="003E760D"/>
    <w:rsid w:val="004267F5"/>
    <w:rsid w:val="00460C67"/>
    <w:rsid w:val="0048459C"/>
    <w:rsid w:val="004A1720"/>
    <w:rsid w:val="0051153B"/>
    <w:rsid w:val="00515E7E"/>
    <w:rsid w:val="0053659F"/>
    <w:rsid w:val="00540EA4"/>
    <w:rsid w:val="005F526E"/>
    <w:rsid w:val="00633E91"/>
    <w:rsid w:val="0064288F"/>
    <w:rsid w:val="00673277"/>
    <w:rsid w:val="006E28E3"/>
    <w:rsid w:val="00701EBF"/>
    <w:rsid w:val="00715830"/>
    <w:rsid w:val="00746B5D"/>
    <w:rsid w:val="00755978"/>
    <w:rsid w:val="00781343"/>
    <w:rsid w:val="00796E35"/>
    <w:rsid w:val="007C1EE6"/>
    <w:rsid w:val="007C219D"/>
    <w:rsid w:val="008D6490"/>
    <w:rsid w:val="00904260"/>
    <w:rsid w:val="00950D9E"/>
    <w:rsid w:val="009B554D"/>
    <w:rsid w:val="009C5CD9"/>
    <w:rsid w:val="009E6E13"/>
    <w:rsid w:val="00A164D1"/>
    <w:rsid w:val="00A16676"/>
    <w:rsid w:val="00A3274C"/>
    <w:rsid w:val="00A54E29"/>
    <w:rsid w:val="00A56EC5"/>
    <w:rsid w:val="00A908C2"/>
    <w:rsid w:val="00AD4176"/>
    <w:rsid w:val="00AD51D7"/>
    <w:rsid w:val="00B14419"/>
    <w:rsid w:val="00B27C0A"/>
    <w:rsid w:val="00B940A9"/>
    <w:rsid w:val="00BF296E"/>
    <w:rsid w:val="00C0020A"/>
    <w:rsid w:val="00C369F1"/>
    <w:rsid w:val="00C52CA2"/>
    <w:rsid w:val="00CA427B"/>
    <w:rsid w:val="00CD4826"/>
    <w:rsid w:val="00CF2890"/>
    <w:rsid w:val="00D40DB2"/>
    <w:rsid w:val="00D86F30"/>
    <w:rsid w:val="00D91107"/>
    <w:rsid w:val="00DA26F5"/>
    <w:rsid w:val="00E13375"/>
    <w:rsid w:val="00E4229C"/>
    <w:rsid w:val="00E81271"/>
    <w:rsid w:val="00E85FA4"/>
    <w:rsid w:val="00E87209"/>
    <w:rsid w:val="00E93CE0"/>
    <w:rsid w:val="00EB1A6F"/>
    <w:rsid w:val="00EF224C"/>
    <w:rsid w:val="00F41ECF"/>
    <w:rsid w:val="00FC3DE5"/>
    <w:rsid w:val="00FD08AE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0A60812"/>
  <w15:docId w15:val="{2A9B967B-1513-462D-943D-983F64BF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asicParagraph">
    <w:name w:val="[Basic Paragraph]"/>
    <w:basedOn w:val="Normal"/>
    <w:uiPriority w:val="99"/>
    <w:rsid w:val="00E422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2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9C"/>
  </w:style>
  <w:style w:type="paragraph" w:styleId="BalloonText">
    <w:name w:val="Balloon Text"/>
    <w:basedOn w:val="Normal"/>
    <w:link w:val="BalloonTextChar"/>
    <w:semiHidden/>
    <w:unhideWhenUsed/>
    <w:rsid w:val="00393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3D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5AF2"/>
  </w:style>
  <w:style w:type="paragraph" w:styleId="ListParagraph">
    <w:name w:val="List Paragraph"/>
    <w:basedOn w:val="Normal"/>
    <w:uiPriority w:val="34"/>
    <w:qFormat/>
    <w:rsid w:val="009E6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MasterWordTemplate</vt:lpstr>
    </vt:vector>
  </TitlesOfParts>
  <Company>Gavel &amp; Gown Software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MasterWordTemplate</dc:title>
  <dc:creator>Shari L. Ketchum</dc:creator>
  <cp:lastModifiedBy>Corbisier, Robert W (GOV)</cp:lastModifiedBy>
  <cp:revision>2</cp:revision>
  <cp:lastPrinted>2018-12-21T22:24:00Z</cp:lastPrinted>
  <dcterms:created xsi:type="dcterms:W3CDTF">2022-09-27T23:23:00Z</dcterms:created>
  <dcterms:modified xsi:type="dcterms:W3CDTF">2022-09-27T23:23:00Z</dcterms:modified>
</cp:coreProperties>
</file>